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53"/>
        <w:gridCol w:w="4669"/>
      </w:tblGrid>
      <w:tr w:rsidR="00230FCE" w:rsidRPr="00230FCE" w14:paraId="065358F8" w14:textId="77777777" w:rsidTr="00230FCE">
        <w:trPr>
          <w:jc w:val="center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CDC" w14:textId="77777777" w:rsidR="00230FCE" w:rsidRPr="00230FCE" w:rsidRDefault="00230FCE" w:rsidP="00230FC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A866A" w14:textId="681D90F9" w:rsidR="00230FCE" w:rsidRPr="00230FCE" w:rsidRDefault="00230FCE" w:rsidP="00230FCE">
            <w:pPr>
              <w:pStyle w:val="rvps14"/>
              <w:spacing w:before="150" w:after="150"/>
              <w:ind w:left="295"/>
              <w:rPr>
                <w:rStyle w:val="spanrvts0"/>
                <w:sz w:val="20"/>
                <w:szCs w:val="20"/>
                <w:lang w:val="uk" w:eastAsia="uk"/>
              </w:rPr>
            </w:pPr>
          </w:p>
        </w:tc>
      </w:tr>
    </w:tbl>
    <w:p w14:paraId="4688C802" w14:textId="77777777" w:rsidR="00230FCE" w:rsidRPr="009B08FD" w:rsidRDefault="00230FCE" w:rsidP="00230FCE">
      <w:pPr>
        <w:pStyle w:val="rvps7"/>
        <w:spacing w:before="150" w:after="150"/>
        <w:ind w:left="450" w:right="450"/>
        <w:rPr>
          <w:rStyle w:val="spanrvts0"/>
          <w:rFonts w:ascii="Cambria" w:hAnsi="Cambria"/>
          <w:lang w:val="uk" w:eastAsia="uk"/>
        </w:rPr>
      </w:pPr>
      <w:r w:rsidRPr="009B08FD">
        <w:rPr>
          <w:rStyle w:val="spanrvts15"/>
          <w:rFonts w:ascii="Cambria" w:hAnsi="Cambria"/>
          <w:bCs w:val="0"/>
          <w:sz w:val="24"/>
          <w:szCs w:val="24"/>
          <w:lang w:val="uk" w:eastAsia="uk"/>
        </w:rPr>
        <w:t xml:space="preserve">ПОВІДОМЛЕННЯ </w:t>
      </w:r>
      <w:r w:rsidRPr="009B08FD">
        <w:rPr>
          <w:rStyle w:val="spanrvts15"/>
          <w:rFonts w:ascii="Cambria" w:hAnsi="Cambria"/>
          <w:bCs w:val="0"/>
          <w:sz w:val="24"/>
          <w:szCs w:val="24"/>
          <w:lang w:val="uk" w:eastAsia="uk"/>
        </w:rPr>
        <w:br/>
        <w:t>про проведення (скликання) загальних зборів акціонерного товариства</w:t>
      </w:r>
    </w:p>
    <w:tbl>
      <w:tblPr>
        <w:tblW w:w="4977" w:type="pct"/>
        <w:tblInd w:w="-20" w:type="dxa"/>
        <w:tblLayout w:type="fixed"/>
        <w:tblCellMar>
          <w:top w:w="567" w:type="dxa"/>
          <w:left w:w="567" w:type="dxa"/>
          <w:bottom w:w="567" w:type="dxa"/>
          <w:right w:w="567" w:type="dxa"/>
        </w:tblCellMar>
        <w:tblLook w:val="05E0" w:firstRow="1" w:lastRow="1" w:firstColumn="1" w:lastColumn="1" w:noHBand="0" w:noVBand="1"/>
      </w:tblPr>
      <w:tblGrid>
        <w:gridCol w:w="21"/>
        <w:gridCol w:w="4871"/>
        <w:gridCol w:w="20"/>
        <w:gridCol w:w="4948"/>
      </w:tblGrid>
      <w:tr w:rsidR="00230FCE" w:rsidRPr="009B08FD" w14:paraId="2814C2C1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DCB1F" w14:textId="77777777" w:rsidR="00230FCE" w:rsidRPr="009B08FD" w:rsidRDefault="00230FCE" w:rsidP="00230FCE">
            <w:pPr>
              <w:pStyle w:val="rvps12"/>
              <w:spacing w:before="150" w:after="150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1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6284B" w14:textId="77777777" w:rsidR="00230FCE" w:rsidRPr="009B08FD" w:rsidRDefault="00230FCE" w:rsidP="00230FCE">
            <w:pPr>
              <w:pStyle w:val="rvps12"/>
              <w:spacing w:before="150" w:after="150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2</w:t>
            </w:r>
          </w:p>
        </w:tc>
      </w:tr>
      <w:tr w:rsidR="00230FCE" w:rsidRPr="009B08FD" w14:paraId="722B116F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0232E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Повне найменування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76FA" w14:textId="42F84F67" w:rsidR="00230FCE" w:rsidRPr="009B08FD" w:rsidRDefault="00AA2A4D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ПРИВАТНЕ АКЦІОНЕРНЕ ТОВАРИСТВО "ЗАПОРІЖЕЛЕКТРОМАШОПТТОРГ"</w:t>
            </w:r>
          </w:p>
        </w:tc>
      </w:tr>
      <w:tr w:rsidR="00230FCE" w:rsidRPr="009B08FD" w14:paraId="2881FDE6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CD80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Ідентифікаційний код юридичної особи 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A334" w14:textId="7CC1C112" w:rsidR="00230FCE" w:rsidRPr="009B08FD" w:rsidRDefault="00AA2A4D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01881876</w:t>
            </w:r>
          </w:p>
        </w:tc>
      </w:tr>
      <w:tr w:rsidR="00230FCE" w:rsidRPr="009B08FD" w14:paraId="41B6E49B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62BB6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Місцезнаходження 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9FB7" w14:textId="436D97C4" w:rsidR="00230FCE" w:rsidRPr="009B08FD" w:rsidRDefault="00AA2A4D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70037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Запорізька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область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Вільнянський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район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село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Люцерна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вулиця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Сонячна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будинок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9а</w:t>
            </w:r>
          </w:p>
        </w:tc>
      </w:tr>
      <w:tr w:rsidR="00230FCE" w:rsidRPr="009B08FD" w14:paraId="548CF6D8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DFD5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Дата і час початку проведення загальних зборів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B9D6" w14:textId="3B4356FF" w:rsidR="00230FCE" w:rsidRPr="009B08FD" w:rsidRDefault="00AA2A4D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29.03.2024</w:t>
            </w:r>
          </w:p>
        </w:tc>
      </w:tr>
      <w:tr w:rsidR="00230FCE" w:rsidRPr="009B08FD" w14:paraId="6827C591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ADD6" w14:textId="77777777" w:rsidR="00230FCE" w:rsidRPr="009B08FD" w:rsidRDefault="00230FCE" w:rsidP="00230FCE">
            <w:pPr>
              <w:pStyle w:val="rvps14"/>
              <w:spacing w:before="150" w:after="150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Спосіб проведення загальних зборів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7BDC4" w14:textId="648A1F0E" w:rsidR="00230FCE" w:rsidRPr="009B08FD" w:rsidRDefault="00AA2A4D" w:rsidP="00B8206F">
            <w:pPr>
              <w:pStyle w:val="rvps14"/>
              <w:spacing w:before="150" w:after="150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Fonts w:ascii="Cambria" w:hAnsi="Cambria"/>
                <w:sz w:val="20"/>
                <w:szCs w:val="20"/>
                <w:lang w:val="ru-RU"/>
              </w:rPr>
              <w:t xml:space="preserve">   </w:t>
            </w:r>
            <w:r w:rsidR="00CA256F" w:rsidRPr="009B08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9B08FD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hyperlink r:id="rId4" w:history="1"/>
            <w:r w:rsidR="00230FCE" w:rsidRPr="009B08FD"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  <w:t>очне голосування, місце проведення</w:t>
            </w:r>
            <w:r w:rsidR="009B08FD">
              <w:rPr>
                <w:rStyle w:val="spanrvts37"/>
                <w:lang w:val="uk-UA"/>
              </w:rPr>
              <w:t>1</w:t>
            </w:r>
            <w:r w:rsidR="00B8206F" w:rsidRPr="009B08FD"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  <w:t xml:space="preserve">: </w:t>
            </w:r>
            <w:r w:rsidR="00B8206F" w:rsidRPr="009B08FD"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  <w:br/>
            </w:r>
            <w:r w:rsidR="00B8206F" w:rsidRPr="009B08FD">
              <w:rPr>
                <w:rStyle w:val="spanrvts0"/>
                <w:rFonts w:ascii="Cambria" w:hAnsi="Cambria"/>
                <w:sz w:val="20"/>
                <w:szCs w:val="20"/>
                <w:lang w:val="ru-RU" w:eastAsia="uk"/>
              </w:rPr>
              <w:t xml:space="preserve"> 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u w:val="single"/>
                <w:lang w:eastAsia="uk"/>
              </w:rPr>
              <w:t>________________________</w:t>
            </w:r>
            <w:r w:rsidR="00230FCE" w:rsidRPr="009B08FD"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  <w:br/>
            </w:r>
            <w:r w:rsidRPr="009B08FD">
              <w:rPr>
                <w:rFonts w:ascii="Cambria" w:hAnsi="Cambria"/>
                <w:sz w:val="20"/>
                <w:szCs w:val="20"/>
                <w:lang w:val="ru-RU"/>
              </w:rPr>
              <w:t xml:space="preserve">   </w:t>
            </w:r>
            <w:r w:rsidR="00CA256F" w:rsidRPr="009B08F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B08FD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hyperlink r:id="rId5" w:history="1"/>
            <w:r w:rsidR="00230FCE" w:rsidRPr="009B08FD"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  <w:t xml:space="preserve">електронне голосування </w:t>
            </w:r>
            <w:r w:rsidR="00230FCE"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br/>
            </w:r>
            <w:r w:rsidRPr="009B08FD">
              <w:rPr>
                <w:rFonts w:ascii="Cambria" w:hAnsi="Cambria"/>
                <w:sz w:val="20"/>
                <w:szCs w:val="20"/>
                <w:lang w:val="ru-RU"/>
              </w:rPr>
              <w:t xml:space="preserve">   </w:t>
            </w:r>
            <w:r w:rsidR="00CA256F" w:rsidRPr="009B08FD">
              <w:rPr>
                <w:rFonts w:ascii="Cambria" w:hAnsi="Cambria"/>
                <w:b/>
                <w:sz w:val="20"/>
                <w:szCs w:val="20"/>
              </w:rPr>
              <w:t>[X]</w:t>
            </w:r>
            <w:r w:rsidR="00B8206F" w:rsidRPr="009B08FD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hyperlink r:id="rId6" w:history="1"/>
            <w:r w:rsidR="00230FCE"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опитування (дистанційно)</w:t>
            </w:r>
          </w:p>
        </w:tc>
      </w:tr>
      <w:tr w:rsidR="00230FCE" w:rsidRPr="009B08FD" w14:paraId="2CF69676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342D0" w14:textId="77777777" w:rsidR="00230FCE" w:rsidRPr="009B08FD" w:rsidRDefault="00230FCE" w:rsidP="00230FCE">
            <w:pPr>
              <w:pStyle w:val="rvps14"/>
              <w:spacing w:before="150" w:after="150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Час початку і закінчення реєстрації акціонерів для участі у загальних зборах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F80F" w14:textId="5BFAD61E" w:rsidR="00230FCE" w:rsidRPr="009B08FD" w:rsidRDefault="00B8206F" w:rsidP="00EB1242">
            <w:pPr>
              <w:pStyle w:val="rvps14"/>
              <w:contextualSpacing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19.03.2024 11:00</w:t>
            </w:r>
          </w:p>
          <w:p w14:paraId="755730C3" w14:textId="155C4380" w:rsidR="00EB1242" w:rsidRPr="009B08FD" w:rsidRDefault="00EB1242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29.03.2024 18:00</w:t>
            </w:r>
          </w:p>
        </w:tc>
      </w:tr>
      <w:tr w:rsidR="00230FCE" w:rsidRPr="009B08FD" w14:paraId="7F78D86B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6FCD2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Дата складення переліку акціонерів, які мають право на участь у загальних зборах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B07F" w14:textId="10D28378" w:rsidR="00230FCE" w:rsidRPr="009B08FD" w:rsidRDefault="00B820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26.03.2024</w:t>
            </w:r>
          </w:p>
        </w:tc>
      </w:tr>
      <w:tr w:rsidR="00230FCE" w:rsidRPr="009B08FD" w14:paraId="1C4596EC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36A5E" w14:textId="35ED4815" w:rsidR="00230FCE" w:rsidRPr="009B08FD" w:rsidRDefault="00230FCE" w:rsidP="00230FCE">
            <w:pPr>
              <w:pStyle w:val="rvps14"/>
              <w:spacing w:before="150" w:after="150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Проект порядку денного / порядок денний</w:t>
            </w:r>
            <w:r w:rsidR="009B08FD"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vertAlign w:val="superscript"/>
                <w:lang w:val="uk" w:eastAsia="uk"/>
              </w:rPr>
              <w:t>2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0F63" w14:textId="77777777" w:rsidR="00CA256F" w:rsidRPr="009B08FD" w:rsidRDefault="00EB1242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1.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Генерального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наслідками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        </w:t>
            </w:r>
          </w:p>
          <w:p w14:paraId="7114DEFF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2.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наслідками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4373A75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3.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висновків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аудиторських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суб'єкта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аудиторської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діяльності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заходів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0ACE6734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4.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фінансово-господарської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діяльності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покриття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збитків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</w:p>
          <w:p w14:paraId="323839E2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5.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річних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річної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інформації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емітента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2022, 2023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09E95F4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6.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внесення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змін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0BDD62D4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7.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осіб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надаватимуться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забезпечення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державної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реєстрації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75852EF5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8.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Положення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52A32C3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9.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припинення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       </w:t>
            </w:r>
          </w:p>
          <w:p w14:paraId="1D4E980E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10.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35E48EC3" w14:textId="14CE81EF" w:rsidR="00230FCE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11.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умов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цивільно-правових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/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трудових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контрактів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укладаються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встановлення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розміру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винагороди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контрактів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</w:tc>
      </w:tr>
      <w:tr w:rsidR="00230FCE" w:rsidRPr="009B08FD" w14:paraId="711536F1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BAB89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Проекти рішень (крім кумулятивного голосування) з кожного питання, включеного до проекту порядку денного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A0EB" w14:textId="72F10166" w:rsidR="00CA256F" w:rsidRPr="009B08FD" w:rsidRDefault="00EB1242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 "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Генерального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наслідками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Генерального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Роботу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Генерального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директора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визнати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задовільною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13A5F28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049685DD" w14:textId="1E595EB1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2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наслідками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lastRenderedPageBreak/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Роботу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задовільною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3EB8730E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275F3224" w14:textId="59C8427C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3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висновків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аудиторських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суб'єкта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аудиторської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діяльності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заходів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висновки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аудиторських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суб'єкта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аудиторської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діяльності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затверджувати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заходи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зв'язку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відсутністю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251757C5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043EED6D" w14:textId="1D0AC8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4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фінансово-господарської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діяльності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покриття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збитків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результати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фінансово-господарської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діяльності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2021 - 2023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наступний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покриття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збитків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покрити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збитки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нерозподіленого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прибутку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минулих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періодів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3302F1B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65D5D723" w14:textId="6C3BFAF3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5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річних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річної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інформації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емітента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2022, 2023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річні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звіти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річну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інформацію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емітента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2022, 2023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09D40F6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1FD2167E" w14:textId="559A437C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6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внесення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змін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Внести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зміни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</w:p>
          <w:p w14:paraId="2A653BCE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410D6979" w14:textId="704AF956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7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осіб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надаватимуться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забезпечення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державної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реєстрації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Головуючого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секретаря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надаватимуться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забезпечення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державної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реєстрації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Статуту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Генерального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Товстоноса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Віталія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Івановича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самостійно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доручивши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встановленому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законодавством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).</w:t>
            </w:r>
          </w:p>
          <w:p w14:paraId="5CD84504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4895D6DB" w14:textId="71EC98A1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8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Положення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Положення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редакції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070BF300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6FD26152" w14:textId="3ABD9528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9 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припинення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Припинити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Бойко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Ігоря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Юрійовича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Зуйкової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Ірини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Володимирівни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Хитрук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Людмили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Олександрiвни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                                                                                                                                            </w:t>
            </w:r>
          </w:p>
          <w:p w14:paraId="30C172EC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46542ADE" w14:textId="054121CD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10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Бойко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Ігоря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Юрійовича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Зуйкову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Ірину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Володимирівну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ДОЧІРНЄ ПІДПРИЄМСТВО "ЗЕМОТ" ТОВАРИСТВА З ОБМЕЖЕНОЮ ВІДПОВІДАЛЬНІСТЮ "КП </w:t>
            </w: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lastRenderedPageBreak/>
              <w:t xml:space="preserve">"ЗАПОРІЖЕЛЕКТРОМАШОПТТОРГ"),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Хитрук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Людмилу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Олександрiвну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).</w:t>
            </w:r>
          </w:p>
          <w:p w14:paraId="03BC14FA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1EB06B68" w14:textId="60A61BD1" w:rsidR="00230FCE" w:rsidRPr="009B08FD" w:rsidRDefault="00CA256F" w:rsidP="00512C05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11 "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умов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цивільно-правових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/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трудових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контрактів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укладаються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встановлення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розміру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винагороди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контрактів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."</w:t>
            </w:r>
            <w:r w:rsidR="00512C05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п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Затвердити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умови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цивільно-правових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укладаються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Винагороду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членам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сплачувати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Генерального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</w:tc>
      </w:tr>
      <w:tr w:rsidR="00230FCE" w:rsidRPr="009B08FD" w14:paraId="5FE3BC5F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9A44D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lastRenderedPageBreak/>
              <w:t xml:space="preserve">URL-адреса </w:t>
            </w:r>
            <w:proofErr w:type="spellStart"/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вебсайту</w:t>
            </w:r>
            <w:proofErr w:type="spellEnd"/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, на якій розміщено інформацію, зазначену в </w:t>
            </w:r>
            <w:hyperlink r:id="rId7" w:anchor="n506" w:tgtFrame="_blank" w:history="1">
              <w:r w:rsidRPr="009B08FD">
                <w:rPr>
                  <w:rStyle w:val="arvts96"/>
                  <w:rFonts w:ascii="Cambria" w:hAnsi="Cambria"/>
                  <w:b/>
                  <w:bCs/>
                  <w:color w:val="000000" w:themeColor="text1"/>
                  <w:sz w:val="20"/>
                  <w:szCs w:val="20"/>
                  <w:lang w:val="uk" w:eastAsia="uk"/>
                </w:rPr>
                <w:t>частині третій</w:t>
              </w:r>
            </w:hyperlink>
            <w:r w:rsidRPr="009B08FD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статті 47 Закону про акціонерні товариства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F569" w14:textId="6EE166A1" w:rsidR="00230FCE" w:rsidRPr="009B08FD" w:rsidRDefault="00367AB3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URL-</w:t>
            </w:r>
            <w:proofErr w:type="spellStart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адреса</w:t>
            </w:r>
            <w:proofErr w:type="spellEnd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вебсайту</w:t>
            </w:r>
            <w:proofErr w:type="spellEnd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http://zemot.pat.ua/ </w:t>
            </w:r>
            <w:proofErr w:type="spellStart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сторінці</w:t>
            </w:r>
            <w:proofErr w:type="spellEnd"/>
            <w:r w:rsidRPr="00367AB3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http://zemot.pat.ua/documents/informaciya-dlya-akcioneriv-ta-steikholderiv      </w:t>
            </w:r>
          </w:p>
        </w:tc>
      </w:tr>
      <w:tr w:rsidR="00230FCE" w:rsidRPr="009B08FD" w14:paraId="0F95377D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E72D6" w14:textId="334A65D2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Порядок ознайомлення акціонерів з матеріалами, з якими вони можуть ознайомитися під час підготовки до загальних зборів</w:t>
            </w:r>
            <w:r w:rsidR="00D76C92">
              <w:rPr>
                <w:rStyle w:val="spanrvts37"/>
                <w:b w:val="0"/>
                <w:bCs w:val="0"/>
                <w:lang w:val="uk-UA"/>
              </w:rPr>
              <w:t>3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, та посадова особа</w:t>
            </w:r>
            <w:r w:rsidR="00D76C92">
              <w:rPr>
                <w:rStyle w:val="spanrvts37"/>
                <w:b w:val="0"/>
                <w:bCs w:val="0"/>
                <w:lang w:val="uk-UA"/>
              </w:rPr>
              <w:t>4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 акціонерного товариства, відповідальна за порядок ознайомлення акціонерів з документами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A6D6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Кожен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отримати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зобов'язане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формі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копій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безкоштовно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можуть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ознайомитися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час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підготовки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надсилання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повідомлення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можливість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ознайомитись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необхідними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включених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ознайомлення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необхідними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бути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засобом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вимогам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НКЦПФР,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направлений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zemot@i.ua.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отримання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чином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оформленого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відповідальна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ознайомлення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направляє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направлено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із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засобом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вимогам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НКЦПФР.</w:t>
            </w:r>
          </w:p>
          <w:p w14:paraId="67B2396F" w14:textId="77777777" w:rsidR="00230FCE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письмові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включених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отримані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пізніше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ніж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один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робочий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направляються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zemot@i.ua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засобом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вимогам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НКЦПФР).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всі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однакового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змісту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направляються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надійшов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чином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оформлений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запит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із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засобом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вимогам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НКЦПФР.</w:t>
            </w:r>
          </w:p>
          <w:p w14:paraId="5F8D57E1" w14:textId="77777777" w:rsidR="009E6EEE" w:rsidRPr="009B08FD" w:rsidRDefault="009E6EE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2B484BEB" w14:textId="2F2C3FE4" w:rsidR="009E6EEE" w:rsidRPr="009B08FD" w:rsidRDefault="009E6EE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Посадова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відповідальна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ознайомлення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lastRenderedPageBreak/>
              <w:t>Генеральний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директор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Товстонос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Віталій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Іванович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Контактний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номер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телефону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: +380 97 275 63 19.</w:t>
            </w:r>
          </w:p>
        </w:tc>
      </w:tr>
      <w:tr w:rsidR="00230FCE" w:rsidRPr="009B08FD" w14:paraId="2EE499BE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E63F7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lastRenderedPageBreak/>
              <w:t xml:space="preserve">Інформація про права, надані акціонерам відповідно до вимог </w:t>
            </w:r>
            <w:hyperlink r:id="rId8" w:anchor="n274" w:tgtFrame="_blank" w:history="1">
              <w:r w:rsidRPr="009B08FD">
                <w:rPr>
                  <w:rStyle w:val="arvts96"/>
                  <w:rFonts w:ascii="Cambria" w:hAnsi="Cambria"/>
                  <w:color w:val="000000" w:themeColor="text1"/>
                  <w:sz w:val="20"/>
                  <w:szCs w:val="20"/>
                  <w:lang w:val="uk" w:eastAsia="uk"/>
                </w:rPr>
                <w:t>статей 27</w:t>
              </w:r>
            </w:hyperlink>
            <w:r w:rsidRPr="009B08FD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і </w:t>
            </w:r>
            <w:hyperlink r:id="rId9" w:anchor="n283" w:tgtFrame="_blank" w:history="1">
              <w:r w:rsidRPr="009B08FD">
                <w:rPr>
                  <w:rStyle w:val="arvts96"/>
                  <w:rFonts w:ascii="Cambria" w:hAnsi="Cambria"/>
                  <w:color w:val="000000" w:themeColor="text1"/>
                  <w:sz w:val="20"/>
                  <w:szCs w:val="20"/>
                  <w:lang w:val="uk" w:eastAsia="uk"/>
                </w:rPr>
                <w:t>28</w:t>
              </w:r>
            </w:hyperlink>
            <w:r w:rsidRPr="009B08FD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Закону про акціонерні товариства, якими вони можуть користуватися після отримання повідомлення про проведення загальних зборів, </w:t>
            </w:r>
            <w:r w:rsidRPr="009B08FD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а також строк, протягом якого такі 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права можуть використовуватися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8883" w14:textId="31789FA5" w:rsidR="00F81A9D" w:rsidRPr="009B08FD" w:rsidRDefault="00F81A9D" w:rsidP="00F81A9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Кожною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простою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акцією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9B08FD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Т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овариства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її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власнику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акціонеру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надається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однакова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сукупність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прав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включаючи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права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участь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управлінні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товариством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господарську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діяльність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9B08FD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14:paraId="60C72863" w14:textId="77777777" w:rsidR="00F81A9D" w:rsidRPr="009B08FD" w:rsidRDefault="00F81A9D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4B88F316" w14:textId="0E5F8F00" w:rsidR="00613283" w:rsidRPr="009B08FD" w:rsidRDefault="00CA256F" w:rsidP="00F81A9D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Кожен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власник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акцій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реалізувати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своє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управління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  <w:r w:rsidR="00F81A9D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Датою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початку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є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розміщення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відповідного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бюлетеню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вільному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доступі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розпочинається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моменту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розміщення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веб-сайті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відповідного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бюлетеню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11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години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19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березня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2024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року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).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Датою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закінчення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є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="00613283"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5FE26509" w14:textId="29517E8B" w:rsidR="00613283" w:rsidRPr="009B08FD" w:rsidRDefault="00613283" w:rsidP="0061328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приймаються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виключно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18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години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29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березня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2024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року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завершення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).</w:t>
            </w:r>
          </w:p>
          <w:p w14:paraId="36706E57" w14:textId="1245E343" w:rsidR="00F81A9D" w:rsidRPr="009B08FD" w:rsidRDefault="00F81A9D" w:rsidP="0061328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1E2C4B26" w14:textId="48AC0CB9" w:rsidR="00F81A9D" w:rsidRPr="009B08FD" w:rsidRDefault="00F81A9D" w:rsidP="0061328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надсилання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повідомлення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 xml:space="preserve"> </w:t>
            </w:r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надає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можливість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ознайомитись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необхідними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рішень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55C040F6" w14:textId="77777777" w:rsidR="00613283" w:rsidRPr="009B08FD" w:rsidRDefault="0061328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4D9D3871" w14:textId="77777777" w:rsidR="00613283" w:rsidRPr="009B08FD" w:rsidRDefault="0061328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Кожний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внести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пропозиції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також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нових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кандидатів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кількість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перевищувати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кількісного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Пропозиції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вносяться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ніж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20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днів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кандидатів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ніж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7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днів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0DCDE55B" w14:textId="238B2CCE" w:rsidR="00613283" w:rsidRPr="009B08FD" w:rsidRDefault="0061328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Пропозиція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вигляді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із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засобом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вимогам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НКЦПФР)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zemot@i.ua.</w:t>
            </w:r>
          </w:p>
        </w:tc>
      </w:tr>
      <w:tr w:rsidR="00230FCE" w:rsidRPr="009B08FD" w14:paraId="0DE20A8D" w14:textId="77777777" w:rsidTr="00810F71">
        <w:trPr>
          <w:gridBefore w:val="1"/>
          <w:wBefore w:w="11" w:type="pct"/>
          <w:trHeight w:val="60"/>
        </w:trPr>
        <w:tc>
          <w:tcPr>
            <w:tcW w:w="2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AE505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Порядок надання акціонерами пропозицій до проекту порядку денного 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u w:val="single"/>
                <w:lang w:val="uk" w:eastAsia="uk"/>
              </w:rPr>
              <w:t>позачергових</w:t>
            </w: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 xml:space="preserve"> загальних зборів</w:t>
            </w:r>
          </w:p>
        </w:tc>
        <w:tc>
          <w:tcPr>
            <w:tcW w:w="25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9FDF" w14:textId="1000569D" w:rsidR="00230FCE" w:rsidRPr="009B08FD" w:rsidRDefault="00613283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---</w:t>
            </w:r>
          </w:p>
        </w:tc>
      </w:tr>
      <w:tr w:rsidR="00230FCE" w:rsidRPr="009B08FD" w14:paraId="5922FA28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3BB8336" w14:textId="77777777" w:rsidR="00230FCE" w:rsidRPr="009B08FD" w:rsidRDefault="00230FCE" w:rsidP="00EB1242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Порядок участі та голосування на загальних зборах за довіреністю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AF7C2FF" w14:textId="77777777" w:rsidR="00230FCE" w:rsidRPr="009B08FD" w:rsidRDefault="00CA256F" w:rsidP="00855E73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бути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фізична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юридичної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також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держави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територіальної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громади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призначити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свого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безстроково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певний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строк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фізичною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посвідчується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нотаріусом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посадовими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вчиняють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нотаріальні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також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посвідчуватися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встановленому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НКЦПФР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імені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юридичної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органом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установчими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отримувати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нього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перелік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lastRenderedPageBreak/>
              <w:t>інструкцією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завдання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є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невід'ємною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частиною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час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повинен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завдання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завдання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здійснює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розсуд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декільком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своїм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декількома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депонента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здійснюється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ідентифікація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реєстрація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була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пізніше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здійснили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декілька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одночасно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допускається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Видача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виключає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видав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замість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свого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будь-який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час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закінчення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строку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відведеного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відкликати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замінити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свого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повідомивши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обслуговує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взяти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особисто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Повідомлення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заміну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відкликання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свого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здійснюватися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допомогою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засобів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зв'язку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відповідно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законодавства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документообіг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74EFE5F3" w14:textId="77777777" w:rsidR="005636AC" w:rsidRPr="009B08FD" w:rsidRDefault="005636AC" w:rsidP="00855E73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3BA58D1A" w14:textId="5DD03E4C" w:rsidR="005636AC" w:rsidRPr="009B08FD" w:rsidRDefault="005636AC" w:rsidP="00855E73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випадку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додаються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підтверджують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чином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копії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</w:tc>
      </w:tr>
      <w:tr w:rsidR="00230FCE" w:rsidRPr="009B08FD" w14:paraId="231B6986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DE3B6F6" w14:textId="7A683945" w:rsidR="00230FCE" w:rsidRPr="00D76C92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lastRenderedPageBreak/>
              <w:t>Дата і час початку та завершення голосування за допомогою авторизованої електронної системи</w:t>
            </w:r>
            <w:r w:rsidR="00D76C92">
              <w:rPr>
                <w:rStyle w:val="spanrvts37"/>
                <w:b w:val="0"/>
                <w:bCs w:val="0"/>
                <w:lang w:val="uk-UA"/>
              </w:rPr>
              <w:t>5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13EEBA76" w14:textId="1722D455" w:rsidR="00230FCE" w:rsidRPr="009B08FD" w:rsidRDefault="00855E73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val="ru-RU"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</w:p>
          <w:p w14:paraId="4873F218" w14:textId="5622E4F1" w:rsidR="00855E73" w:rsidRPr="009B08FD" w:rsidRDefault="00855E73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D76C92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-</w:t>
            </w:r>
            <w:r w:rsidR="00D76C92">
              <w:rPr>
                <w:rStyle w:val="spanrvts0"/>
                <w:lang w:val="uk-UA"/>
              </w:rPr>
              <w:t>--</w:t>
            </w:r>
          </w:p>
        </w:tc>
      </w:tr>
      <w:tr w:rsidR="00230FCE" w:rsidRPr="009B08FD" w14:paraId="07FFB31A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DABF53F" w14:textId="73966785" w:rsidR="00230FCE" w:rsidRPr="00D76C92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Дата і час початку та завершення надсилання до депозитарної установи бюлетенів для голосування</w:t>
            </w:r>
            <w:r w:rsidR="00D76C92">
              <w:rPr>
                <w:rStyle w:val="spanrvts37"/>
                <w:b w:val="0"/>
                <w:bCs w:val="0"/>
                <w:lang w:val="uk-UA"/>
              </w:rPr>
              <w:t>6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8EC5B3C" w14:textId="56B8A599" w:rsidR="00230FCE" w:rsidRPr="009B08FD" w:rsidRDefault="00855E73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val="ru-RU"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19.03.2024 11:00</w:t>
            </w:r>
          </w:p>
          <w:p w14:paraId="1E74F5A0" w14:textId="4C902077" w:rsidR="00855E73" w:rsidRPr="009B08FD" w:rsidRDefault="00855E73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29.03.2024 18:00</w:t>
            </w:r>
          </w:p>
        </w:tc>
      </w:tr>
      <w:tr w:rsidR="00230FCE" w:rsidRPr="009B08FD" w14:paraId="2564C0DA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78693DB" w14:textId="1C714DBB" w:rsidR="00230FCE" w:rsidRPr="00D76C92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Дані про мету зменшення розміру статутного капіталу та спосіб, у який буде проведено таку процедуру</w:t>
            </w:r>
            <w:r w:rsidR="00D76C92">
              <w:rPr>
                <w:rStyle w:val="spanrvts37"/>
                <w:b w:val="0"/>
                <w:bCs w:val="0"/>
                <w:lang w:val="uk-UA"/>
              </w:rPr>
              <w:t>7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0E3273B" w14:textId="1C2B7956" w:rsidR="00230FCE" w:rsidRPr="009B08FD" w:rsidRDefault="00C7694B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val="ru-RU"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5636AC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---</w:t>
            </w:r>
          </w:p>
        </w:tc>
      </w:tr>
      <w:tr w:rsidR="00230FCE" w:rsidRPr="009B08FD" w14:paraId="7D8CCAE6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5472A70" w14:textId="13B5D535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Інші відомості, передбачені законодавством</w:t>
            </w:r>
            <w:r w:rsidR="00D76C92" w:rsidRPr="00D76C92">
              <w:rPr>
                <w:rStyle w:val="spanrvts0"/>
                <w:rFonts w:ascii="Cambria" w:hAnsi="Cambria"/>
                <w:b/>
                <w:bCs/>
                <w:sz w:val="20"/>
                <w:szCs w:val="20"/>
                <w:vertAlign w:val="superscript"/>
                <w:lang w:val="uk" w:eastAsia="uk"/>
              </w:rPr>
              <w:t>8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5D7A7FD" w14:textId="663AEBB1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дистанційного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u w:val="single"/>
                <w:lang w:eastAsia="uk"/>
              </w:rPr>
              <w:t>річних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завершення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29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березня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2024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3DEF7ADA" w14:textId="77777777" w:rsidR="005636AC" w:rsidRPr="009B08FD" w:rsidRDefault="005636AC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6E43294B" w14:textId="4ADA90BD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Між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включеними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проект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наявний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взаємозв'язок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: </w:t>
            </w:r>
          </w:p>
          <w:p w14:paraId="0603F2BF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-</w:t>
            </w: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ab/>
              <w:t xml:space="preserve">6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7, 8.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означає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неможливість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підрахунку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7, 8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6;</w:t>
            </w:r>
          </w:p>
          <w:p w14:paraId="4CE3332A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-</w:t>
            </w: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ab/>
              <w:t xml:space="preserve">9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10, 11.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означає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неможливість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підрахунку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10, 11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9;</w:t>
            </w:r>
          </w:p>
          <w:p w14:paraId="25A01F38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-</w:t>
            </w: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ab/>
              <w:t xml:space="preserve">10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11.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означає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неможливість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підрахунку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11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проекту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lastRenderedPageBreak/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неприйняття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рішення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10.</w:t>
            </w:r>
          </w:p>
          <w:p w14:paraId="76877433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641AE9CC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19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березня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2024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дата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розміщення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органів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крім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кумулятивного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крім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обрання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органів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))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вільному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доступі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власному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веб-сайті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(http://zemot.pat.ua/)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посиланням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http://zemot.pat.ua/documents/informaciya-dlya-akcioneriv-ta-steikholderiv.</w:t>
            </w:r>
          </w:p>
          <w:p w14:paraId="3A01EBD2" w14:textId="77777777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5AB5CD1F" w14:textId="7A0FC5A3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проводиться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усіх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бути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оголошено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перерву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змінено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черговість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розгляду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0B8AF9FA" w14:textId="68188D37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проводиться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виключно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використанням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DA4ABE2" w14:textId="49376416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період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воєнного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можуть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подаватися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із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іншим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базується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кваліфікованому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сертифікаті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відкритого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ключа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і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шляхом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формі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6162E28E" w14:textId="7D70CCC6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період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воєнного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стану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формі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засвідчується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вибором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нотаріально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умови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присутності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нотаріуса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посадової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вчиняє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нотаріальні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обслуговує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,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умови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присутності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уповноваженої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).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поданий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паперовій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формі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складається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кількох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аркушів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сторінки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нумеруються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кожен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аркуш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підписується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).</w:t>
            </w:r>
          </w:p>
          <w:p w14:paraId="6B6CC236" w14:textId="46637C3D" w:rsidR="000351C9" w:rsidRPr="009B08FD" w:rsidRDefault="000351C9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випадку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додаються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підтверджують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їх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чином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копії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299A3954" w14:textId="77777777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період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може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подати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обслуговує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лише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один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і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самих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питань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порядку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денного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1C9619E5" w14:textId="77777777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рахунки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декількох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кожна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із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лише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тієї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кількості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акцій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обслуговується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58AB986B" w14:textId="792479F8" w:rsidR="00CA256F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3F82C3FF" w14:textId="78E68259" w:rsidR="005636AC" w:rsidRPr="009B08FD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lastRenderedPageBreak/>
              <w:t xml:space="preserve">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випадку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відмови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завершення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направити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оригінал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копію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відмови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також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оригінали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належним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чином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засвідчені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копії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що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підтверджують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адресу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пошти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zemot@i.ua 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або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місцезнаходженням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.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такому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разі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акціонер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його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одночасно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направляє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/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надає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копію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відмови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прийнятті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бюлетеня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Національної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комісії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паперів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та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фондового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ринку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  <w:p w14:paraId="58F218FF" w14:textId="77777777" w:rsidR="005636AC" w:rsidRPr="009B08FD" w:rsidRDefault="005636AC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</w:p>
          <w:p w14:paraId="3633D55B" w14:textId="76A86CD1" w:rsidR="00230FCE" w:rsidRPr="009B08FD" w:rsidRDefault="00CA256F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Особам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яким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рахунок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цінних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паперах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установою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відкрито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підставі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договору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емітентом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необхідно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укласти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договір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депозитарними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установами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для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забезпечення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реалізації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права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участь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дистанційних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Загальних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зборах</w:t>
            </w:r>
            <w:proofErr w:type="spellEnd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</w:t>
            </w:r>
          </w:p>
        </w:tc>
      </w:tr>
      <w:tr w:rsidR="00230FCE" w:rsidRPr="009B08FD" w14:paraId="17FE691D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D50E2FA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lastRenderedPageBreak/>
              <w:t>Номер та дата рішення ради (виконавчого органу, якщо створення ради не передбачено) акціонерного товариства про затвердження повідомлення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3204964" w14:textId="23E31EA7" w:rsidR="00230FCE" w:rsidRPr="009B08FD" w:rsidRDefault="00C7694B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val="ru-RU"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протокол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засідання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Наглядової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ради</w:t>
            </w:r>
            <w:proofErr w:type="spellEnd"/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№2</w:t>
            </w:r>
          </w:p>
          <w:p w14:paraId="48AC607D" w14:textId="4F4E4C6E" w:rsidR="00C7694B" w:rsidRPr="009B08FD" w:rsidRDefault="00C7694B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23.02.2024</w:t>
            </w:r>
          </w:p>
        </w:tc>
      </w:tr>
      <w:tr w:rsidR="00230FCE" w:rsidRPr="009B08FD" w14:paraId="2734C501" w14:textId="77777777" w:rsidTr="00D76C92">
        <w:trPr>
          <w:trHeight w:val="60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6133EE0" w14:textId="77777777" w:rsidR="00230FCE" w:rsidRPr="009B08FD" w:rsidRDefault="00230FCE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val="uk" w:eastAsia="uk"/>
              </w:rPr>
            </w:pPr>
            <w:r w:rsidRPr="009B08FD">
              <w:rPr>
                <w:rStyle w:val="spanrvts0"/>
                <w:rFonts w:ascii="Cambria" w:hAnsi="Cambria"/>
                <w:b/>
                <w:bCs/>
                <w:sz w:val="20"/>
                <w:szCs w:val="20"/>
                <w:lang w:val="uk" w:eastAsia="uk"/>
              </w:rPr>
              <w:t>Дата складання повідомлення</w:t>
            </w:r>
          </w:p>
        </w:tc>
        <w:tc>
          <w:tcPr>
            <w:tcW w:w="2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B5FD9D5" w14:textId="30A2788D" w:rsidR="00230FCE" w:rsidRPr="009B08FD" w:rsidRDefault="00C7694B" w:rsidP="00EB1242">
            <w:pPr>
              <w:pStyle w:val="rvps14"/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</w:pPr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 xml:space="preserve"> 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2</w:t>
            </w:r>
            <w:r w:rsidR="003C6936" w:rsidRPr="009B08FD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6</w:t>
            </w:r>
            <w:r w:rsidR="00CA256F"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.02.2024</w:t>
            </w:r>
          </w:p>
        </w:tc>
      </w:tr>
    </w:tbl>
    <w:p w14:paraId="579C0BE2" w14:textId="77777777" w:rsidR="00D76C92" w:rsidRDefault="00D76C92" w:rsidP="00D76C92">
      <w:pPr>
        <w:shd w:val="clear" w:color="auto" w:fill="FFFFFF"/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</w:pPr>
    </w:p>
    <w:p w14:paraId="1C44D53E" w14:textId="2AD63A82" w:rsidR="00D76C92" w:rsidRDefault="00D76C92" w:rsidP="00D76C92">
      <w:pPr>
        <w:shd w:val="clear" w:color="auto" w:fill="FFFFFF"/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</w:pPr>
      <w:r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________________________________________________________________</w:t>
      </w:r>
    </w:p>
    <w:p w14:paraId="30A33589" w14:textId="1880B24C" w:rsidR="00D76C92" w:rsidRPr="00D76C92" w:rsidRDefault="00D76C92" w:rsidP="00D76C92">
      <w:pPr>
        <w:shd w:val="clear" w:color="auto" w:fill="FFFFFF"/>
        <w:rPr>
          <w:rFonts w:ascii="Cambria" w:hAnsi="Cambria"/>
          <w:color w:val="333333"/>
          <w:sz w:val="18"/>
          <w:szCs w:val="18"/>
          <w:lang w:val="uk-UA" w:eastAsia="uk-UA"/>
        </w:rPr>
      </w:pP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1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Повна адреса місця розташування відповідного приміщення із зазначенням номера кімнати, офісу або залу, куди мають прибути акціонери.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br/>
      </w: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2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У разі скликання позачергових загальних зборів акціонерів за скороченою процедурою.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br/>
      </w: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3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Включаючи визначене місце для ознайомлення (номер кімнати, офісу тощо).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br/>
      </w: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4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У разі скликання загальних зборів акціонерами - особа, визначена такими акціонерами.</w:t>
      </w:r>
    </w:p>
    <w:p w14:paraId="1E8B5F50" w14:textId="10BF43E7" w:rsidR="00D76C92" w:rsidRPr="00D76C92" w:rsidRDefault="00D76C92" w:rsidP="00D76C92">
      <w:pPr>
        <w:shd w:val="clear" w:color="auto" w:fill="FFFFFF"/>
        <w:rPr>
          <w:rFonts w:ascii="Cambria" w:hAnsi="Cambria"/>
          <w:color w:val="333333"/>
          <w:sz w:val="18"/>
          <w:szCs w:val="18"/>
          <w:lang w:val="uk-UA" w:eastAsia="uk-UA"/>
        </w:rPr>
      </w:pP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5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У разі проведення електронних загальних зборів.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br/>
      </w: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6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У разі проведення дистанційних загальних зборів.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br/>
      </w: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7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У разі включення до порядку денного питання про зменшення розміру статутного капіталу акціонерного товариства.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br/>
      </w:r>
      <w:r w:rsidRPr="00D76C92">
        <w:rPr>
          <w:rFonts w:ascii="Cambria" w:hAnsi="Cambria"/>
          <w:b/>
          <w:bCs/>
          <w:color w:val="333333"/>
          <w:sz w:val="18"/>
          <w:szCs w:val="18"/>
          <w:vertAlign w:val="superscript"/>
          <w:lang w:val="uk-UA" w:eastAsia="uk-UA"/>
        </w:rPr>
        <w:t>8</w:t>
      </w:r>
      <w:r w:rsidRPr="00D76C92">
        <w:rPr>
          <w:rFonts w:ascii="Cambria" w:hAnsi="Cambria"/>
          <w:color w:val="333333"/>
          <w:sz w:val="18"/>
          <w:szCs w:val="18"/>
          <w:lang w:val="uk-UA" w:eastAsia="uk-UA"/>
        </w:rPr>
        <w:t> У разі, якщо законодавством передбачені інші відомості, які підлягають розкриттю в повідомленні про проведення (скликання) загальних зборів акціонерного товариства.</w:t>
      </w:r>
    </w:p>
    <w:p w14:paraId="2E767E52" w14:textId="77777777" w:rsidR="00337465" w:rsidRPr="00230FCE" w:rsidRDefault="00337465" w:rsidP="00D76C92">
      <w:pPr>
        <w:pStyle w:val="rvps14"/>
        <w:spacing w:before="150" w:after="150"/>
        <w:rPr>
          <w:lang w:val="uk"/>
        </w:rPr>
      </w:pPr>
    </w:p>
    <w:sectPr w:rsidR="00337465" w:rsidRPr="00230FCE" w:rsidSect="00CA256F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F"/>
    <w:rsid w:val="000351C9"/>
    <w:rsid w:val="00230FCE"/>
    <w:rsid w:val="002424A1"/>
    <w:rsid w:val="00337465"/>
    <w:rsid w:val="00367AB3"/>
    <w:rsid w:val="003C6936"/>
    <w:rsid w:val="00512C05"/>
    <w:rsid w:val="00527651"/>
    <w:rsid w:val="005636AC"/>
    <w:rsid w:val="00613283"/>
    <w:rsid w:val="006E3025"/>
    <w:rsid w:val="00810F71"/>
    <w:rsid w:val="00855E73"/>
    <w:rsid w:val="008C08E9"/>
    <w:rsid w:val="009B08FD"/>
    <w:rsid w:val="009E6EEE"/>
    <w:rsid w:val="00AA2A4D"/>
    <w:rsid w:val="00B8206F"/>
    <w:rsid w:val="00C7694B"/>
    <w:rsid w:val="00CA256F"/>
    <w:rsid w:val="00D76C92"/>
    <w:rsid w:val="00EB1242"/>
    <w:rsid w:val="00F81A9D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642"/>
  <w15:chartTrackingRefBased/>
  <w15:docId w15:val="{F9BFD326-0A6E-4D3A-95D9-208BB26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C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rsid w:val="00230FC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230FCE"/>
  </w:style>
  <w:style w:type="character" w:customStyle="1" w:styleId="spanrvts15">
    <w:name w:val="span_rvts15"/>
    <w:rsid w:val="00230FCE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230FCE"/>
    <w:pPr>
      <w:jc w:val="center"/>
    </w:pPr>
  </w:style>
  <w:style w:type="table" w:customStyle="1" w:styleId="articletable">
    <w:name w:val="article_table"/>
    <w:basedOn w:val="a1"/>
    <w:rsid w:val="00230FCE"/>
    <w:rPr>
      <w:rFonts w:ascii="Times New Roman" w:eastAsia="Times New Roman" w:hAnsi="Times New Roman"/>
      <w:lang w:val="en-US"/>
    </w:rPr>
    <w:tblPr/>
  </w:style>
  <w:style w:type="character" w:customStyle="1" w:styleId="arvts96">
    <w:name w:val="a_rvts96"/>
    <w:rsid w:val="00230FCE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37">
    <w:name w:val="span_rvts37"/>
    <w:rsid w:val="00230FCE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spanrvts82">
    <w:name w:val="span_rvts82"/>
    <w:rsid w:val="00230FCE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rvps12">
    <w:name w:val="rvps12"/>
    <w:basedOn w:val="a"/>
    <w:rsid w:val="00230FCE"/>
    <w:pPr>
      <w:jc w:val="center"/>
    </w:pPr>
  </w:style>
  <w:style w:type="character" w:customStyle="1" w:styleId="rvts37">
    <w:name w:val="rvts37"/>
    <w:basedOn w:val="a0"/>
    <w:rsid w:val="00D76C92"/>
  </w:style>
  <w:style w:type="character" w:customStyle="1" w:styleId="rvts82">
    <w:name w:val="rvts82"/>
    <w:basedOn w:val="a0"/>
    <w:rsid w:val="00D7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5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465-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imgs/109/p529494n1280-29.em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file/imgs/109/p529494n1280-28.em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file/imgs/109/p529494n1280-27.emf" TargetMode="External"/><Relationship Id="rId9" Type="http://schemas.openxmlformats.org/officeDocument/2006/relationships/hyperlink" Target="https://zakon.rada.gov.ua/laws/show/2465-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zza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zza</Template>
  <TotalTime>26</TotalTime>
  <Pages>7</Pages>
  <Words>12999</Words>
  <Characters>7410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20369</CharactersWithSpaces>
  <SharedDoc>false</SharedDoc>
  <HLinks>
    <vt:vector size="36" baseType="variant">
      <vt:variant>
        <vt:i4>6881395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https://zakon.rada.gov.ua/laws/show/2465-20</vt:lpwstr>
      </vt:variant>
      <vt:variant>
        <vt:lpwstr>n283</vt:lpwstr>
      </vt:variant>
      <vt:variant>
        <vt:i4>7209084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https://zakon.rada.gov.ua/laws/show/2465-20</vt:lpwstr>
      </vt:variant>
      <vt:variant>
        <vt:lpwstr>n274</vt:lpwstr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https://zakon.rada.gov.ua/laws/show/2465-20</vt:lpwstr>
      </vt:variant>
      <vt:variant>
        <vt:lpwstr>n506</vt:lpwstr>
      </vt:variant>
      <vt:variant>
        <vt:i4>458761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https://zakon.rada.gov.ua/laws/file/imgs/109/p529494n1280-29.emf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https://zakon.rada.gov.ua/laws/file/imgs/109/p529494n1280-28.emf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https://zakon.rada.gov.ua/laws/file/imgs/109/p529494n1280-27.emf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8</cp:revision>
  <dcterms:created xsi:type="dcterms:W3CDTF">2024-02-26T07:23:00Z</dcterms:created>
  <dcterms:modified xsi:type="dcterms:W3CDTF">2024-02-26T08:22:00Z</dcterms:modified>
</cp:coreProperties>
</file>